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B4039D" w:rsidRDefault="005E68E1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cqh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j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Be9cqh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AA3281">
        <w:rPr>
          <w:rFonts w:ascii="Tw Cen MT" w:hAnsi="Tw Cen MT"/>
          <w:sz w:val="28"/>
          <w:szCs w:val="28"/>
        </w:rPr>
        <w:t>4</w:t>
      </w:r>
      <w:r w:rsidR="00AA3281" w:rsidRPr="00AA3281">
        <w:rPr>
          <w:rFonts w:ascii="Tw Cen MT" w:hAnsi="Tw Cen MT"/>
          <w:sz w:val="28"/>
          <w:szCs w:val="28"/>
          <w:vertAlign w:val="superscript"/>
        </w:rPr>
        <w:t>th</w:t>
      </w:r>
      <w:r w:rsidR="00AA3281">
        <w:rPr>
          <w:rFonts w:ascii="Tw Cen MT" w:hAnsi="Tw Cen MT"/>
          <w:sz w:val="28"/>
          <w:szCs w:val="28"/>
        </w:rPr>
        <w:t xml:space="preserve"> Grade Pacing Module 6</w:t>
      </w:r>
      <w:r w:rsidR="00292978">
        <w:rPr>
          <w:rFonts w:ascii="Tw Cen MT" w:hAnsi="Tw Cen MT"/>
          <w:sz w:val="28"/>
          <w:szCs w:val="28"/>
        </w:rPr>
        <w:t xml:space="preserve"> </w:t>
      </w:r>
      <w:r w:rsidR="00292978" w:rsidRPr="00292978">
        <w:rPr>
          <w:rFonts w:ascii="Tw Cen MT" w:hAnsi="Tw Cen MT"/>
          <w:i/>
          <w:sz w:val="28"/>
          <w:szCs w:val="28"/>
        </w:rPr>
        <w:t>with Suggested Modifications</w:t>
      </w:r>
      <w:r w:rsidR="00B4039D">
        <w:rPr>
          <w:rFonts w:ascii="Tw Cen MT" w:hAnsi="Tw Cen MT"/>
          <w:i/>
          <w:sz w:val="28"/>
          <w:szCs w:val="28"/>
        </w:rPr>
        <w:t xml:space="preserve">      </w:t>
      </w:r>
      <w:r w:rsidR="00B4039D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00"/>
        <w:gridCol w:w="6609"/>
        <w:gridCol w:w="1835"/>
        <w:gridCol w:w="2773"/>
      </w:tblGrid>
      <w:tr w:rsidR="006163A6" w:rsidTr="005E68E1">
        <w:tc>
          <w:tcPr>
            <w:tcW w:w="1359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9044" w:type="dxa"/>
            <w:gridSpan w:val="3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2773" w:type="dxa"/>
          </w:tcPr>
          <w:p w:rsidR="006163A6" w:rsidRDefault="00935922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Instructional </w:t>
            </w:r>
            <w:r w:rsidR="0064101C">
              <w:rPr>
                <w:rFonts w:ascii="Tw Cen MT" w:hAnsi="Tw Cen MT"/>
                <w:sz w:val="28"/>
                <w:szCs w:val="28"/>
              </w:rPr>
              <w:t>Notes</w:t>
            </w:r>
          </w:p>
        </w:tc>
      </w:tr>
      <w:tr w:rsidR="00AA3281" w:rsidTr="005E68E1">
        <w:tc>
          <w:tcPr>
            <w:tcW w:w="1359" w:type="dxa"/>
          </w:tcPr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t>4.NF.6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4.NBT.1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4.MD.1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00" w:type="dxa"/>
          </w:tcPr>
          <w:p w:rsidR="00AA3281" w:rsidRPr="00AA3281" w:rsidRDefault="00AA3281" w:rsidP="00F91AC2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8444" w:type="dxa"/>
            <w:gridSpan w:val="2"/>
          </w:tcPr>
          <w:p w:rsidR="00AA3281" w:rsidRPr="00AA3281" w:rsidRDefault="00AA3281" w:rsidP="00F91AC2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Exploration of Tenths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Use metric measurement to model the decomposition of one whole into tenths.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2: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Use metric measurement and area models to represent tenths as fractions greater than 1 and decimal numbers.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3: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Represent mixed numbers with units of tens, ones, and tenths with number disks, on the number line, and in expanded form.</w:t>
            </w:r>
            <w:r w:rsidRPr="00AA3281">
              <w:rPr>
                <w:rFonts w:ascii="Tw Cen MT" w:hAnsi="Tw Cen MT"/>
              </w:rPr>
              <w:t xml:space="preserve">  </w:t>
            </w:r>
          </w:p>
        </w:tc>
        <w:tc>
          <w:tcPr>
            <w:tcW w:w="2773" w:type="dxa"/>
          </w:tcPr>
          <w:p w:rsidR="00AA3281" w:rsidRPr="006163A6" w:rsidRDefault="00AA3281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6163A6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64101C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AA3281" w:rsidRPr="006056E9" w:rsidRDefault="0064101C" w:rsidP="0064101C">
            <w:pPr>
              <w:rPr>
                <w:rFonts w:ascii="Tw Cen MT" w:hAnsi="Tw Cen MT"/>
                <w:sz w:val="24"/>
                <w:szCs w:val="24"/>
              </w:rPr>
            </w:pPr>
            <w:r w:rsidRPr="006056E9">
              <w:rPr>
                <w:rFonts w:ascii="Tw Cen MT" w:hAnsi="Tw Cen MT"/>
                <w:b/>
                <w:i/>
                <w:sz w:val="24"/>
                <w:szCs w:val="24"/>
              </w:rPr>
              <w:t>Lesson 2 &amp; 3 Teacher Prep</w:t>
            </w:r>
            <w:r w:rsidRPr="006056E9">
              <w:rPr>
                <w:rFonts w:ascii="Tw Cen MT" w:hAnsi="Tw Cen MT"/>
                <w:i/>
                <w:sz w:val="24"/>
                <w:szCs w:val="24"/>
              </w:rPr>
              <w:t>:</w:t>
            </w:r>
            <w:r w:rsidRPr="006056E9">
              <w:rPr>
                <w:rFonts w:ascii="Tw Cen MT" w:hAnsi="Tw Cen MT"/>
                <w:sz w:val="24"/>
                <w:szCs w:val="24"/>
              </w:rPr>
              <w:t xml:space="preserve"> Copy teacher and student materials prior to lesson</w:t>
            </w:r>
          </w:p>
        </w:tc>
      </w:tr>
      <w:tr w:rsidR="00AA3281" w:rsidTr="005E68E1">
        <w:tc>
          <w:tcPr>
            <w:tcW w:w="13176" w:type="dxa"/>
            <w:gridSpan w:val="5"/>
          </w:tcPr>
          <w:p w:rsidR="00AA3281" w:rsidRDefault="00AA3281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AA3281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935922" w:rsidRDefault="006056E9" w:rsidP="0064101C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3B994712" wp14:editId="024849AC">
                  <wp:simplePos x="0" y="0"/>
                  <wp:positionH relativeFrom="column">
                    <wp:posOffset>5686425</wp:posOffset>
                  </wp:positionH>
                  <wp:positionV relativeFrom="paragraph">
                    <wp:posOffset>0</wp:posOffset>
                  </wp:positionV>
                  <wp:extent cx="1424940" cy="1974850"/>
                  <wp:effectExtent l="19050" t="0" r="3810" b="0"/>
                  <wp:wrapTight wrapText="bothSides">
                    <wp:wrapPolygon edited="0">
                      <wp:start x="-289" y="0"/>
                      <wp:lineTo x="-289" y="21461"/>
                      <wp:lineTo x="21658" y="21461"/>
                      <wp:lineTo x="21658" y="0"/>
                      <wp:lineTo x="-289" y="0"/>
                    </wp:wrapPolygon>
                  </wp:wrapTight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97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101C">
              <w:rPr>
                <w:rFonts w:ascii="Tw Cen MT" w:hAnsi="Tw Cen MT"/>
                <w:b w:val="0"/>
                <w:sz w:val="28"/>
                <w:szCs w:val="28"/>
              </w:rPr>
              <w:t>Use decimal notation to represent fractions with a denominator of 10</w:t>
            </w:r>
            <w:r w:rsidR="00935922">
              <w:rPr>
                <w:rFonts w:ascii="Tw Cen MT" w:hAnsi="Tw Cen MT"/>
                <w:b w:val="0"/>
                <w:sz w:val="28"/>
                <w:szCs w:val="28"/>
              </w:rPr>
              <w:t xml:space="preserve">  </w:t>
            </w:r>
          </w:p>
          <w:p w:rsidR="0064101C" w:rsidRDefault="00935922" w:rsidP="006056E9">
            <w:pPr>
              <w:pStyle w:val="ny-table-text-hdr"/>
              <w:ind w:left="360" w:firstLine="0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  <w:p w:rsidR="0064101C" w:rsidRPr="006056E9" w:rsidRDefault="0064101C" w:rsidP="0064101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6056E9"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2A3EED94" wp14:editId="4B2D130B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210185</wp:posOffset>
                  </wp:positionV>
                  <wp:extent cx="2309495" cy="1293495"/>
                  <wp:effectExtent l="19050" t="0" r="0" b="0"/>
                  <wp:wrapTight wrapText="bothSides">
                    <wp:wrapPolygon edited="0">
                      <wp:start x="-178" y="0"/>
                      <wp:lineTo x="-178" y="21314"/>
                      <wp:lineTo x="21558" y="21314"/>
                      <wp:lineTo x="21558" y="0"/>
                      <wp:lineTo x="-178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495" cy="1293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56E9">
              <w:rPr>
                <w:rFonts w:ascii="Tw Cen MT" w:hAnsi="Tw Cen MT"/>
                <w:sz w:val="24"/>
                <w:szCs w:val="24"/>
              </w:rPr>
              <w:t>Sample Assessment Item 4.NF.6</w:t>
            </w:r>
          </w:p>
          <w:p w:rsidR="0064101C" w:rsidRPr="00AA3281" w:rsidRDefault="0064101C" w:rsidP="0064101C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AA3281" w:rsidRPr="00AA3281" w:rsidRDefault="00AA3281" w:rsidP="006163A6">
            <w:pPr>
              <w:pStyle w:val="ny-table-text-hdr"/>
              <w:rPr>
                <w:rFonts w:ascii="Tw Cen MT" w:hAnsi="Tw Cen MT"/>
              </w:rPr>
            </w:pPr>
          </w:p>
          <w:p w:rsidR="00AA3281" w:rsidRPr="00AA3281" w:rsidRDefault="00AA3281" w:rsidP="006163A6">
            <w:pPr>
              <w:pStyle w:val="ny-table-text-hdr"/>
              <w:rPr>
                <w:rFonts w:ascii="Tw Cen MT" w:hAnsi="Tw Cen MT"/>
              </w:rPr>
            </w:pPr>
          </w:p>
          <w:p w:rsidR="00AA3281" w:rsidRPr="00AA3281" w:rsidRDefault="00AA3281" w:rsidP="006163A6">
            <w:pPr>
              <w:pStyle w:val="ny-table-text-hdr"/>
              <w:rPr>
                <w:rFonts w:ascii="Tw Cen MT" w:hAnsi="Tw Cen MT"/>
              </w:rPr>
            </w:pPr>
          </w:p>
          <w:p w:rsidR="00AA3281" w:rsidRPr="00AA3281" w:rsidRDefault="00AA3281" w:rsidP="006163A6">
            <w:pPr>
              <w:pStyle w:val="ny-table-text-hdr"/>
              <w:rPr>
                <w:rFonts w:ascii="Tw Cen MT" w:hAnsi="Tw Cen MT"/>
              </w:rPr>
            </w:pPr>
          </w:p>
          <w:p w:rsidR="00AA3281" w:rsidRDefault="00AA3281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4101C" w:rsidRDefault="0064101C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4101C" w:rsidRPr="00AA3281" w:rsidRDefault="0064101C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AA3281" w:rsidTr="005E68E1">
        <w:tc>
          <w:tcPr>
            <w:tcW w:w="1359" w:type="dxa"/>
          </w:tcPr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t>4.NF.5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t>4.NF.6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4.NBT.1</w:t>
            </w:r>
          </w:p>
          <w:p w:rsidR="00AA3281" w:rsidRPr="00AA3281" w:rsidRDefault="00AA3281" w:rsidP="00F91AC2">
            <w:pPr>
              <w:pStyle w:val="ny-table-text"/>
              <w:keepNext/>
              <w:keepLines/>
              <w:spacing w:before="200"/>
              <w:contextualSpacing/>
              <w:outlineLvl w:val="7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4.NF.1</w:t>
            </w:r>
          </w:p>
          <w:p w:rsidR="00AA3281" w:rsidRPr="00AA3281" w:rsidRDefault="00AA3281" w:rsidP="00F91AC2">
            <w:pPr>
              <w:pStyle w:val="ny-table-text"/>
              <w:keepNext/>
              <w:keepLines/>
              <w:spacing w:before="200"/>
              <w:contextualSpacing/>
              <w:outlineLvl w:val="7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4.NF.7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4.MD.1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00" w:type="dxa"/>
          </w:tcPr>
          <w:p w:rsidR="00AA3281" w:rsidRPr="00AA3281" w:rsidRDefault="00AA3281" w:rsidP="00F91AC2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8444" w:type="dxa"/>
            <w:gridSpan w:val="2"/>
          </w:tcPr>
          <w:p w:rsidR="00AA3281" w:rsidRPr="00AA3281" w:rsidRDefault="00AA3281" w:rsidP="00F91AC2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 xml:space="preserve">Tenths and Hundredths 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4: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</w:r>
            <w:r w:rsidRPr="00955F31">
              <w:rPr>
                <w:rFonts w:ascii="Tw Cen MT" w:hAnsi="Tw Cen MT"/>
                <w:sz w:val="24"/>
                <w:szCs w:val="24"/>
                <w:highlight w:val="cyan"/>
              </w:rPr>
              <w:t>Use meters to model the decomposition of one whole into hundredths.  Represent and count hundredths</w:t>
            </w:r>
            <w:r w:rsidRPr="00AA3281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5: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 xml:space="preserve">Model the equivalence of tenths and hundredths using the area model and number disks. 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6: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Use the area model and number line to represent mixed numbers with units of ones, tenths, and hundredths in fraction and decimal forms.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7: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 xml:space="preserve">Model mixed numbers with units of hundreds, tens, ones, tenths, and </w:t>
            </w:r>
            <w:r w:rsidRPr="00AA3281">
              <w:rPr>
                <w:rFonts w:ascii="Tw Cen MT" w:hAnsi="Tw Cen MT"/>
                <w:sz w:val="24"/>
                <w:szCs w:val="24"/>
              </w:rPr>
              <w:lastRenderedPageBreak/>
              <w:t>hundredths in expanded form and on the place value chart.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i/>
                <w:iCs/>
                <w:sz w:val="20"/>
                <w:szCs w:val="20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8: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Use understanding of fraction equivalence to investigate decimal numbers on the place value chart expressed in different units.</w:t>
            </w:r>
          </w:p>
        </w:tc>
        <w:tc>
          <w:tcPr>
            <w:tcW w:w="2773" w:type="dxa"/>
          </w:tcPr>
          <w:p w:rsidR="00AA3281" w:rsidRDefault="00AA3281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163A6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955F31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955F31" w:rsidRDefault="006056E9" w:rsidP="00955F31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Optional </w:t>
            </w:r>
            <w:r w:rsidR="00955F31">
              <w:rPr>
                <w:rFonts w:ascii="Tw Cen MT" w:hAnsi="Tw Cen MT"/>
                <w:b/>
                <w:sz w:val="24"/>
                <w:szCs w:val="24"/>
              </w:rPr>
              <w:t xml:space="preserve">Lesson 4: </w:t>
            </w:r>
            <w:r w:rsidR="00955F31" w:rsidRPr="00955F31">
              <w:rPr>
                <w:rFonts w:ascii="Tw Cen MT" w:hAnsi="Tw Cen MT"/>
                <w:sz w:val="24"/>
                <w:szCs w:val="24"/>
              </w:rPr>
              <w:t>Incorporates measurement conversion into tenths and hundredths</w:t>
            </w:r>
          </w:p>
          <w:p w:rsidR="006056E9" w:rsidRDefault="006056E9" w:rsidP="00955F31">
            <w:pPr>
              <w:rPr>
                <w:rFonts w:ascii="Tw Cen MT" w:hAnsi="Tw Cen MT"/>
                <w:sz w:val="24"/>
                <w:szCs w:val="24"/>
              </w:rPr>
            </w:pPr>
          </w:p>
          <w:p w:rsidR="00955F31" w:rsidRPr="006163A6" w:rsidRDefault="00955F31" w:rsidP="00955F31">
            <w:pPr>
              <w:rPr>
                <w:rFonts w:ascii="Tw Cen MT" w:hAnsi="Tw Cen MT"/>
                <w:sz w:val="24"/>
                <w:szCs w:val="24"/>
              </w:rPr>
            </w:pPr>
            <w:r w:rsidRPr="00955F31">
              <w:rPr>
                <w:rFonts w:ascii="Tw Cen MT" w:hAnsi="Tw Cen MT"/>
                <w:b/>
                <w:i/>
                <w:sz w:val="24"/>
                <w:szCs w:val="24"/>
              </w:rPr>
              <w:t>Lesson 5, 6 &amp; 8 Teacher Prep:</w:t>
            </w:r>
            <w:r>
              <w:rPr>
                <w:rFonts w:ascii="Tw Cen MT" w:hAnsi="Tw Cen MT"/>
                <w:sz w:val="24"/>
                <w:szCs w:val="24"/>
              </w:rPr>
              <w:t xml:space="preserve"> Copy teacher and student materials prior to </w:t>
            </w:r>
            <w:r>
              <w:rPr>
                <w:rFonts w:ascii="Tw Cen MT" w:hAnsi="Tw Cen MT"/>
                <w:sz w:val="24"/>
                <w:szCs w:val="24"/>
              </w:rPr>
              <w:lastRenderedPageBreak/>
              <w:t>lessons</w:t>
            </w:r>
          </w:p>
        </w:tc>
      </w:tr>
      <w:tr w:rsidR="00AA3281" w:rsidTr="005E68E1">
        <w:tc>
          <w:tcPr>
            <w:tcW w:w="13176" w:type="dxa"/>
            <w:gridSpan w:val="5"/>
          </w:tcPr>
          <w:p w:rsid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lastRenderedPageBreak/>
              <w:t>By the end</w:t>
            </w:r>
            <w:r w:rsidR="00955F31">
              <w:rPr>
                <w:rFonts w:ascii="Tw Cen MT" w:hAnsi="Tw Cen MT"/>
                <w:sz w:val="28"/>
                <w:szCs w:val="28"/>
              </w:rPr>
              <w:t xml:space="preserve"> of Topic B, your students shoul</w:t>
            </w:r>
            <w:r w:rsidRPr="00AA3281">
              <w:rPr>
                <w:rFonts w:ascii="Tw Cen MT" w:hAnsi="Tw Cen MT"/>
                <w:sz w:val="28"/>
                <w:szCs w:val="28"/>
              </w:rPr>
              <w:t xml:space="preserve">d be able to: </w:t>
            </w:r>
          </w:p>
          <w:p w:rsidR="00955F31" w:rsidRDefault="00955F31" w:rsidP="00955F31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Use decimal notation to represent fractions with denominators of 10 and 100</w:t>
            </w:r>
          </w:p>
          <w:p w:rsidR="00955F31" w:rsidRDefault="00955F31" w:rsidP="00955F31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Use a model to represent the equivalence between tenths and hundredths</w:t>
            </w:r>
          </w:p>
          <w:p w:rsidR="00895630" w:rsidRDefault="00895630" w:rsidP="00895630">
            <w:pPr>
              <w:pStyle w:val="ny-table-text-hdr"/>
              <w:ind w:left="0" w:firstLine="0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895630" w:rsidRPr="006056E9" w:rsidRDefault="00895630" w:rsidP="00895630">
            <w:pPr>
              <w:pStyle w:val="ny-table-text-hdr"/>
              <w:ind w:left="0" w:firstLine="0"/>
              <w:rPr>
                <w:rFonts w:ascii="Tw Cen MT" w:hAnsi="Tw Cen MT"/>
                <w:sz w:val="24"/>
                <w:szCs w:val="24"/>
              </w:rPr>
            </w:pPr>
            <w:r w:rsidRPr="006056E9"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1B407A65" wp14:editId="13A42FAA">
                  <wp:simplePos x="0" y="0"/>
                  <wp:positionH relativeFrom="column">
                    <wp:posOffset>3553460</wp:posOffset>
                  </wp:positionH>
                  <wp:positionV relativeFrom="paragraph">
                    <wp:posOffset>272415</wp:posOffset>
                  </wp:positionV>
                  <wp:extent cx="1840230" cy="1811020"/>
                  <wp:effectExtent l="19050" t="0" r="7620" b="0"/>
                  <wp:wrapTight wrapText="bothSides">
                    <wp:wrapPolygon edited="0">
                      <wp:start x="-224" y="0"/>
                      <wp:lineTo x="-224" y="21358"/>
                      <wp:lineTo x="21689" y="21358"/>
                      <wp:lineTo x="21689" y="0"/>
                      <wp:lineTo x="-224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230" cy="181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056E9" w:rsidRPr="006056E9">
              <w:rPr>
                <w:rFonts w:ascii="Tw Cen MT" w:hAnsi="Tw Cen MT"/>
                <w:sz w:val="24"/>
                <w:szCs w:val="24"/>
              </w:rPr>
              <w:t xml:space="preserve">SBAC Released Item: </w:t>
            </w:r>
            <w:r w:rsidR="006056E9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Sample Assessment:</w:t>
            </w:r>
          </w:p>
          <w:p w:rsidR="00895630" w:rsidRDefault="00895630" w:rsidP="00895630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 wp14:anchorId="1CC53E5D" wp14:editId="55F632B3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81915</wp:posOffset>
                  </wp:positionV>
                  <wp:extent cx="2891155" cy="1949450"/>
                  <wp:effectExtent l="19050" t="0" r="4445" b="0"/>
                  <wp:wrapTight wrapText="bothSides">
                    <wp:wrapPolygon edited="0">
                      <wp:start x="-142" y="0"/>
                      <wp:lineTo x="-142" y="21319"/>
                      <wp:lineTo x="21633" y="21319"/>
                      <wp:lineTo x="21633" y="0"/>
                      <wp:lineTo x="-142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155" cy="194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5630" w:rsidRDefault="00895630" w:rsidP="00895630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955F31" w:rsidRPr="00955F31" w:rsidRDefault="00955F31" w:rsidP="00955F31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AA3281" w:rsidRP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AA3281" w:rsidRP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AA3281" w:rsidRP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AA3281" w:rsidTr="005E68E1">
        <w:tc>
          <w:tcPr>
            <w:tcW w:w="13176" w:type="dxa"/>
            <w:gridSpan w:val="5"/>
          </w:tcPr>
          <w:p w:rsidR="00AA3281" w:rsidRDefault="00AA3281" w:rsidP="00AA3281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AA3281">
              <w:rPr>
                <w:rFonts w:ascii="Tw Cen MT" w:hAnsi="Tw Cen MT"/>
                <w:i/>
                <w:sz w:val="28"/>
                <w:szCs w:val="28"/>
              </w:rPr>
              <w:t>2 Days for Remediation, Enrichment, Mid-Module Assessment</w:t>
            </w:r>
          </w:p>
          <w:p w:rsidR="006056E9" w:rsidRPr="006056E9" w:rsidRDefault="002060DC" w:rsidP="006056E9">
            <w:pPr>
              <w:rPr>
                <w:rFonts w:ascii="Tw Cen MT" w:hAnsi="Tw Cen MT"/>
                <w:sz w:val="28"/>
                <w:szCs w:val="28"/>
              </w:rPr>
            </w:pPr>
            <w:hyperlink r:id="rId14" w:history="1">
              <w:r w:rsidR="006056E9" w:rsidRPr="006056E9">
                <w:rPr>
                  <w:rStyle w:val="Hyperlink"/>
                  <w:rFonts w:ascii="Tw Cen MT" w:hAnsi="Tw Cen MT"/>
                  <w:sz w:val="28"/>
                  <w:szCs w:val="28"/>
                </w:rPr>
                <w:t>Mid-Module Assessment Word Document</w:t>
              </w:r>
            </w:hyperlink>
          </w:p>
          <w:p w:rsidR="00AA3281" w:rsidRDefault="006056E9" w:rsidP="00AA3281">
            <w:pPr>
              <w:rPr>
                <w:rFonts w:ascii="Tw Cen MT" w:hAnsi="Tw Cen MT"/>
                <w:b/>
                <w:sz w:val="28"/>
                <w:szCs w:val="28"/>
              </w:rPr>
            </w:pPr>
            <w:r>
              <w:rPr>
                <w:rFonts w:ascii="Tw Cen MT" w:hAnsi="Tw Cen MT"/>
                <w:b/>
                <w:sz w:val="28"/>
                <w:szCs w:val="28"/>
              </w:rPr>
              <w:t>Suggested Task</w:t>
            </w:r>
            <w:r w:rsidR="00AA3281" w:rsidRPr="00AA3281">
              <w:rPr>
                <w:rFonts w:ascii="Tw Cen MT" w:hAnsi="Tw Cen MT"/>
                <w:b/>
                <w:sz w:val="28"/>
                <w:szCs w:val="28"/>
              </w:rPr>
              <w:t xml:space="preserve">:  </w:t>
            </w:r>
          </w:p>
          <w:p w:rsidR="00AA3281" w:rsidRPr="00AA3281" w:rsidRDefault="002060DC" w:rsidP="006163A6">
            <w:pPr>
              <w:rPr>
                <w:rFonts w:ascii="Tw Cen MT" w:hAnsi="Tw Cen MT"/>
                <w:sz w:val="28"/>
                <w:szCs w:val="28"/>
              </w:rPr>
            </w:pPr>
            <w:hyperlink r:id="rId15" w:history="1">
              <w:r w:rsidR="00895630" w:rsidRPr="00895630">
                <w:rPr>
                  <w:rStyle w:val="Hyperlink"/>
                  <w:rFonts w:ascii="Tw Cen MT" w:hAnsi="Tw Cen MT"/>
                  <w:sz w:val="28"/>
                  <w:szCs w:val="28"/>
                </w:rPr>
                <w:t>Dismissal Duty Dilemma</w:t>
              </w:r>
            </w:hyperlink>
            <w:r w:rsidR="00895630">
              <w:rPr>
                <w:rFonts w:ascii="Tw Cen MT" w:hAnsi="Tw Cen MT"/>
                <w:sz w:val="28"/>
                <w:szCs w:val="28"/>
              </w:rPr>
              <w:t xml:space="preserve"> (pg. 49)</w:t>
            </w:r>
          </w:p>
        </w:tc>
      </w:tr>
      <w:tr w:rsidR="00AA3281" w:rsidTr="005E68E1">
        <w:tc>
          <w:tcPr>
            <w:tcW w:w="1359" w:type="dxa"/>
          </w:tcPr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t>4.NF.7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4.MD.1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 w:cstheme="minorHAnsi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4.MD.2</w:t>
            </w:r>
          </w:p>
        </w:tc>
        <w:tc>
          <w:tcPr>
            <w:tcW w:w="600" w:type="dxa"/>
          </w:tcPr>
          <w:p w:rsidR="00AA3281" w:rsidRPr="00AA3281" w:rsidRDefault="00AA3281" w:rsidP="00F91AC2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8444" w:type="dxa"/>
            <w:gridSpan w:val="2"/>
          </w:tcPr>
          <w:p w:rsidR="00AA3281" w:rsidRPr="00AA3281" w:rsidRDefault="00AA3281" w:rsidP="00F91AC2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Decimal Comparison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trike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9: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</w:r>
            <w:r w:rsidRPr="00895630">
              <w:rPr>
                <w:rFonts w:ascii="Tw Cen MT" w:hAnsi="Tw Cen MT"/>
                <w:sz w:val="24"/>
                <w:szCs w:val="24"/>
                <w:highlight w:val="green"/>
              </w:rPr>
              <w:t>Use the place value chart and metric measurement to compare decimals and answer</w:t>
            </w:r>
            <w:r w:rsidRPr="00895630">
              <w:rPr>
                <w:rFonts w:ascii="Tw Cen MT" w:hAnsi="Tw Cen MT"/>
                <w:strike/>
                <w:sz w:val="24"/>
                <w:szCs w:val="24"/>
                <w:highlight w:val="green"/>
              </w:rPr>
              <w:t xml:space="preserve"> </w:t>
            </w:r>
            <w:r w:rsidRPr="00895630">
              <w:rPr>
                <w:rFonts w:ascii="Tw Cen MT" w:hAnsi="Tw Cen MT"/>
                <w:sz w:val="24"/>
                <w:szCs w:val="24"/>
                <w:highlight w:val="green"/>
              </w:rPr>
              <w:t>comparison questions.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10: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Use area models and the number line to compare decimal numbers, and record comparisons using &lt;, &gt;, and =.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11: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Compare and order mixed numbers in various forms.</w:t>
            </w:r>
          </w:p>
        </w:tc>
        <w:tc>
          <w:tcPr>
            <w:tcW w:w="2773" w:type="dxa"/>
          </w:tcPr>
          <w:p w:rsidR="00AA3281" w:rsidRDefault="00AA3281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81089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95630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895630" w:rsidRDefault="006056E9" w:rsidP="00895630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Extension </w:t>
            </w:r>
            <w:r w:rsidR="00895630">
              <w:rPr>
                <w:rFonts w:ascii="Tw Cen MT" w:hAnsi="Tw Cen MT"/>
                <w:b/>
                <w:sz w:val="24"/>
                <w:szCs w:val="24"/>
              </w:rPr>
              <w:t>Lesson 9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, </w:t>
            </w:r>
            <w:r w:rsidR="00895630" w:rsidRPr="00242BAE">
              <w:rPr>
                <w:rFonts w:ascii="Tw Cen MT" w:hAnsi="Tw Cen MT"/>
                <w:sz w:val="24"/>
                <w:szCs w:val="24"/>
              </w:rPr>
              <w:t>use if time permits</w:t>
            </w:r>
          </w:p>
          <w:p w:rsidR="006056E9" w:rsidRDefault="006056E9" w:rsidP="00895630">
            <w:pPr>
              <w:rPr>
                <w:rFonts w:ascii="Tw Cen MT" w:hAnsi="Tw Cen MT"/>
                <w:sz w:val="24"/>
                <w:szCs w:val="24"/>
              </w:rPr>
            </w:pPr>
          </w:p>
          <w:p w:rsidR="00242BAE" w:rsidRPr="00681089" w:rsidRDefault="00242BAE" w:rsidP="00895630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42BAE">
              <w:rPr>
                <w:rFonts w:ascii="Tw Cen MT" w:hAnsi="Tw Cen MT"/>
                <w:b/>
                <w:i/>
                <w:sz w:val="24"/>
                <w:szCs w:val="24"/>
              </w:rPr>
              <w:t>Lesson 10 &amp;11 Teacher Prep</w:t>
            </w:r>
            <w:r>
              <w:rPr>
                <w:rFonts w:ascii="Tw Cen MT" w:hAnsi="Tw Cen MT"/>
                <w:sz w:val="24"/>
                <w:szCs w:val="24"/>
              </w:rPr>
              <w:t>: Copy teacher and student materials prior to lesson.</w:t>
            </w:r>
          </w:p>
        </w:tc>
      </w:tr>
      <w:tr w:rsidR="00AA3281" w:rsidTr="005E68E1">
        <w:tc>
          <w:tcPr>
            <w:tcW w:w="13176" w:type="dxa"/>
            <w:gridSpan w:val="5"/>
          </w:tcPr>
          <w:p w:rsid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242BAE" w:rsidRPr="00242BAE" w:rsidRDefault="00242BAE" w:rsidP="00242BAE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242BAE">
              <w:rPr>
                <w:rFonts w:ascii="Tw Cen MT" w:hAnsi="Tw Cen MT"/>
                <w:sz w:val="28"/>
                <w:szCs w:val="28"/>
              </w:rPr>
              <w:t>Compare decimals to the hundredths place</w:t>
            </w:r>
            <w:r>
              <w:rPr>
                <w:rFonts w:ascii="Tw Cen MT" w:hAnsi="Tw Cen MT"/>
                <w:sz w:val="28"/>
                <w:szCs w:val="28"/>
              </w:rPr>
              <w:t xml:space="preserve"> by reasoning about their size when relating to the same whole</w:t>
            </w:r>
          </w:p>
          <w:p w:rsid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242BAE" w:rsidRPr="006056E9" w:rsidRDefault="006056E9" w:rsidP="006163A6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Snapshot</w:t>
            </w:r>
            <w:r w:rsidR="00242BAE" w:rsidRPr="006056E9">
              <w:rPr>
                <w:rFonts w:ascii="Tw Cen MT" w:hAnsi="Tw Cen MT"/>
                <w:b/>
                <w:sz w:val="24"/>
                <w:szCs w:val="24"/>
              </w:rPr>
              <w:t xml:space="preserve"> Assessment 4.NF.7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:</w:t>
            </w:r>
          </w:p>
          <w:p w:rsidR="00242BAE" w:rsidRPr="00AA3281" w:rsidRDefault="006F049A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 wp14:anchorId="6103F0B7" wp14:editId="6F3687B3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41275</wp:posOffset>
                  </wp:positionV>
                  <wp:extent cx="2059305" cy="2294255"/>
                  <wp:effectExtent l="19050" t="0" r="0" b="0"/>
                  <wp:wrapTight wrapText="bothSides">
                    <wp:wrapPolygon edited="0">
                      <wp:start x="-200" y="0"/>
                      <wp:lineTo x="-200" y="21343"/>
                      <wp:lineTo x="21580" y="21343"/>
                      <wp:lineTo x="21580" y="0"/>
                      <wp:lineTo x="-20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229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A00DB76" wp14:editId="2DEFF40B">
                  <wp:simplePos x="0" y="0"/>
                  <wp:positionH relativeFrom="column">
                    <wp:posOffset>3408680</wp:posOffset>
                  </wp:positionH>
                  <wp:positionV relativeFrom="paragraph">
                    <wp:posOffset>45720</wp:posOffset>
                  </wp:positionV>
                  <wp:extent cx="2967355" cy="2216785"/>
                  <wp:effectExtent l="19050" t="0" r="4445" b="0"/>
                  <wp:wrapTight wrapText="bothSides">
                    <wp:wrapPolygon edited="0">
                      <wp:start x="-139" y="0"/>
                      <wp:lineTo x="-139" y="21346"/>
                      <wp:lineTo x="21632" y="21346"/>
                      <wp:lineTo x="21632" y="0"/>
                      <wp:lineTo x="-139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7355" cy="2216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A3281" w:rsidRPr="00AA3281" w:rsidRDefault="00AA3281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AA3281" w:rsidTr="005E68E1">
        <w:tc>
          <w:tcPr>
            <w:tcW w:w="1359" w:type="dxa"/>
          </w:tcPr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t>4.NF.5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t>4.NF.6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4.NF.3c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4.MD.1</w:t>
            </w:r>
          </w:p>
        </w:tc>
        <w:tc>
          <w:tcPr>
            <w:tcW w:w="600" w:type="dxa"/>
          </w:tcPr>
          <w:p w:rsidR="00AA3281" w:rsidRPr="00AA3281" w:rsidRDefault="00AA3281" w:rsidP="00F91AC2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8444" w:type="dxa"/>
            <w:gridSpan w:val="2"/>
          </w:tcPr>
          <w:p w:rsidR="00AA3281" w:rsidRPr="00AA3281" w:rsidRDefault="00AA3281" w:rsidP="00F91AC2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Addition with Tenths and Hundredths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12: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Apply understanding of fraction equivalence to add tenths and hundredths.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13: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  <w:t>Add decimal numbers by converting to fraction form.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14: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</w:r>
            <w:r w:rsidRPr="006F049A">
              <w:rPr>
                <w:rFonts w:ascii="Tw Cen MT" w:hAnsi="Tw Cen MT"/>
                <w:sz w:val="24"/>
                <w:szCs w:val="24"/>
                <w:highlight w:val="green"/>
              </w:rPr>
              <w:t>Solve word problems involving the addition of measurements in decimal form.</w:t>
            </w:r>
          </w:p>
        </w:tc>
        <w:tc>
          <w:tcPr>
            <w:tcW w:w="2773" w:type="dxa"/>
          </w:tcPr>
          <w:p w:rsidR="00AA3281" w:rsidRPr="00681089" w:rsidRDefault="00AA3281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681089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71E2F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6F049A" w:rsidRDefault="006F049A" w:rsidP="006F049A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i/>
                <w:sz w:val="24"/>
                <w:szCs w:val="24"/>
              </w:rPr>
              <w:t>Lesson 12</w:t>
            </w:r>
            <w:r w:rsidRPr="00242BAE">
              <w:rPr>
                <w:rFonts w:ascii="Tw Cen MT" w:hAnsi="Tw Cen MT"/>
                <w:b/>
                <w:i/>
                <w:sz w:val="24"/>
                <w:szCs w:val="24"/>
              </w:rPr>
              <w:t xml:space="preserve"> Teacher Prep</w:t>
            </w:r>
            <w:r>
              <w:rPr>
                <w:rFonts w:ascii="Tw Cen MT" w:hAnsi="Tw Cen MT"/>
                <w:sz w:val="24"/>
                <w:szCs w:val="24"/>
              </w:rPr>
              <w:t>: Copy teacher and student materials prior to lesson.</w:t>
            </w:r>
          </w:p>
          <w:p w:rsidR="00AA3281" w:rsidRPr="00681089" w:rsidRDefault="006F049A" w:rsidP="006F049A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Lesson 14: </w:t>
            </w:r>
            <w:r w:rsidRPr="00242BAE">
              <w:rPr>
                <w:rFonts w:ascii="Tw Cen MT" w:hAnsi="Tw Cen MT"/>
                <w:sz w:val="24"/>
                <w:szCs w:val="24"/>
              </w:rPr>
              <w:t>Extension, use if time permits</w:t>
            </w:r>
          </w:p>
        </w:tc>
      </w:tr>
      <w:tr w:rsidR="00AA3281" w:rsidTr="005E68E1">
        <w:tc>
          <w:tcPr>
            <w:tcW w:w="13176" w:type="dxa"/>
            <w:gridSpan w:val="5"/>
          </w:tcPr>
          <w:p w:rsidR="00AA3281" w:rsidRDefault="00AA3281" w:rsidP="006163A6">
            <w:pPr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6F049A" w:rsidRDefault="006F049A" w:rsidP="006F049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Convert fractions with denominators of 10  or 100 to equivalent fractions as necessary to add tenths and hundredths</w:t>
            </w:r>
          </w:p>
          <w:p w:rsidR="006F049A" w:rsidRDefault="006F049A" w:rsidP="006F049A">
            <w:pPr>
              <w:rPr>
                <w:rFonts w:ascii="Tw Cen MT" w:hAnsi="Tw Cen MT"/>
                <w:sz w:val="28"/>
                <w:szCs w:val="28"/>
              </w:rPr>
            </w:pPr>
          </w:p>
          <w:p w:rsidR="006056E9" w:rsidRPr="006056E9" w:rsidRDefault="006056E9" w:rsidP="006F049A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6056E9">
              <w:rPr>
                <w:rFonts w:ascii="Tw Cen MT" w:hAnsi="Tw Cen MT"/>
                <w:b/>
                <w:sz w:val="24"/>
                <w:szCs w:val="24"/>
              </w:rPr>
              <w:t>SBAC Released Item</w:t>
            </w:r>
            <w:r w:rsidR="005E68E1">
              <w:rPr>
                <w:rFonts w:ascii="Tw Cen MT" w:hAnsi="Tw Cen MT"/>
                <w:b/>
                <w:sz w:val="24"/>
                <w:szCs w:val="24"/>
              </w:rPr>
              <w:t xml:space="preserve"> (see next page)</w:t>
            </w:r>
            <w:r w:rsidRPr="006056E9"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6056E9" w:rsidRPr="00AA3281" w:rsidRDefault="006F049A" w:rsidP="0029297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lastRenderedPageBreak/>
              <w:drawing>
                <wp:inline distT="0" distB="0" distL="0" distR="0" wp14:anchorId="697209FC" wp14:editId="56F5E708">
                  <wp:extent cx="2663765" cy="1831164"/>
                  <wp:effectExtent l="19050" t="0" r="32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103" cy="1834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281" w:rsidTr="005E68E1">
        <w:tc>
          <w:tcPr>
            <w:tcW w:w="1359" w:type="dxa"/>
          </w:tcPr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A3281">
              <w:rPr>
                <w:rFonts w:ascii="Tw Cen MT" w:hAnsi="Tw Cen MT"/>
                <w:b/>
                <w:sz w:val="28"/>
                <w:szCs w:val="28"/>
              </w:rPr>
              <w:lastRenderedPageBreak/>
              <w:t>4.MD.2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4.NF.5</w:t>
            </w:r>
          </w:p>
          <w:p w:rsidR="00AA3281" w:rsidRPr="00AA3281" w:rsidRDefault="00AA3281" w:rsidP="00F91AC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4.NF.6</w:t>
            </w:r>
          </w:p>
        </w:tc>
        <w:tc>
          <w:tcPr>
            <w:tcW w:w="600" w:type="dxa"/>
          </w:tcPr>
          <w:p w:rsidR="00AA3281" w:rsidRPr="00AA3281" w:rsidRDefault="00AA3281" w:rsidP="00F91AC2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AA3281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6609" w:type="dxa"/>
          </w:tcPr>
          <w:p w:rsidR="00AA3281" w:rsidRPr="00AA3281" w:rsidRDefault="00AA3281" w:rsidP="00F91AC2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Money Amounts as Decimal Numbers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15: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</w:r>
            <w:r w:rsidRPr="006F049A">
              <w:rPr>
                <w:rFonts w:ascii="Tw Cen MT" w:hAnsi="Tw Cen MT"/>
                <w:sz w:val="24"/>
                <w:szCs w:val="24"/>
                <w:highlight w:val="green"/>
              </w:rPr>
              <w:t>Express money amounts given in various forms as decimal numbers</w:t>
            </w:r>
            <w:r w:rsidRPr="00AA3281">
              <w:rPr>
                <w:rFonts w:ascii="Tw Cen MT" w:hAnsi="Tw Cen MT"/>
                <w:sz w:val="24"/>
                <w:szCs w:val="24"/>
              </w:rPr>
              <w:t>.</w:t>
            </w:r>
          </w:p>
          <w:p w:rsidR="00AA3281" w:rsidRPr="00AA3281" w:rsidRDefault="00AA3281" w:rsidP="00F91AC2">
            <w:pPr>
              <w:pStyle w:val="ny-table-list-lessons"/>
              <w:rPr>
                <w:rFonts w:ascii="Tw Cen MT" w:hAnsi="Tw Cen MT"/>
                <w:b/>
              </w:rPr>
            </w:pPr>
            <w:r w:rsidRPr="00AA3281">
              <w:rPr>
                <w:rFonts w:ascii="Tw Cen MT" w:hAnsi="Tw Cen MT"/>
                <w:sz w:val="24"/>
                <w:szCs w:val="24"/>
              </w:rPr>
              <w:t>Lesson 16:</w:t>
            </w:r>
            <w:r w:rsidRPr="00AA3281">
              <w:rPr>
                <w:rFonts w:ascii="Tw Cen MT" w:hAnsi="Tw Cen MT"/>
                <w:sz w:val="24"/>
                <w:szCs w:val="24"/>
              </w:rPr>
              <w:tab/>
            </w:r>
            <w:r w:rsidRPr="006F049A">
              <w:rPr>
                <w:rFonts w:ascii="Tw Cen MT" w:hAnsi="Tw Cen MT"/>
                <w:sz w:val="24"/>
                <w:szCs w:val="24"/>
                <w:highlight w:val="green"/>
              </w:rPr>
              <w:t>Solve word problems involving money</w:t>
            </w:r>
            <w:r w:rsidRPr="00AA3281">
              <w:rPr>
                <w:rFonts w:ascii="Tw Cen MT" w:hAnsi="Tw Cen MT"/>
                <w:sz w:val="24"/>
                <w:szCs w:val="24"/>
              </w:rPr>
              <w:t xml:space="preserve">.      </w:t>
            </w:r>
          </w:p>
        </w:tc>
        <w:tc>
          <w:tcPr>
            <w:tcW w:w="4608" w:type="dxa"/>
            <w:gridSpan w:val="2"/>
          </w:tcPr>
          <w:p w:rsidR="00AA3281" w:rsidRDefault="00AA3281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71E2F">
              <w:rPr>
                <w:rFonts w:ascii="Tw Cen MT" w:hAnsi="Tw Cen MT"/>
                <w:b/>
                <w:sz w:val="24"/>
                <w:szCs w:val="24"/>
              </w:rPr>
              <w:t>0</w:t>
            </w:r>
          </w:p>
          <w:p w:rsidR="00AA3281" w:rsidRPr="00935922" w:rsidRDefault="00571E2F" w:rsidP="00681089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Lessons 15 &amp; 16: </w:t>
            </w:r>
            <w:r w:rsidRPr="00571E2F">
              <w:rPr>
                <w:rFonts w:ascii="Tw Cen MT" w:hAnsi="Tw Cen MT"/>
                <w:sz w:val="24"/>
                <w:szCs w:val="24"/>
              </w:rPr>
              <w:t>These lessons are review and connect money to place value. Pieces of these lesson</w:t>
            </w:r>
            <w:r w:rsidR="00D82FF5">
              <w:rPr>
                <w:rFonts w:ascii="Tw Cen MT" w:hAnsi="Tw Cen MT"/>
                <w:sz w:val="24"/>
                <w:szCs w:val="24"/>
              </w:rPr>
              <w:t xml:space="preserve">s </w:t>
            </w:r>
            <w:r w:rsidRPr="00571E2F">
              <w:rPr>
                <w:rFonts w:ascii="Tw Cen MT" w:hAnsi="Tw Cen MT"/>
                <w:sz w:val="24"/>
                <w:szCs w:val="24"/>
              </w:rPr>
              <w:t xml:space="preserve">could be used at the beginning of the module to connect place value conversions to something the students already know. Money is revisited in Module 7. </w:t>
            </w:r>
          </w:p>
        </w:tc>
      </w:tr>
      <w:tr w:rsidR="00AA3281" w:rsidTr="005E68E1">
        <w:tc>
          <w:tcPr>
            <w:tcW w:w="13176" w:type="dxa"/>
            <w:gridSpan w:val="5"/>
          </w:tcPr>
          <w:p w:rsidR="00AA3281" w:rsidRDefault="00AA3281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 xml:space="preserve">2 </w:t>
            </w:r>
            <w:r w:rsidRPr="00292978">
              <w:rPr>
                <w:rFonts w:ascii="Tw Cen MT" w:hAnsi="Tw Cen MT"/>
                <w:i/>
                <w:sz w:val="28"/>
                <w:szCs w:val="28"/>
              </w:rPr>
              <w:t>Days for Re-Assessment, Remediation and Enrichment</w:t>
            </w:r>
          </w:p>
          <w:p w:rsidR="00571E2F" w:rsidRPr="006056E9" w:rsidRDefault="00571E2F" w:rsidP="00571E2F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6056E9">
              <w:rPr>
                <w:rFonts w:ascii="Tw Cen MT" w:hAnsi="Tw Cen MT"/>
                <w:b/>
                <w:sz w:val="28"/>
                <w:szCs w:val="28"/>
              </w:rPr>
              <w:t xml:space="preserve">Sample Task: </w:t>
            </w:r>
          </w:p>
          <w:p w:rsidR="00571E2F" w:rsidRPr="006056E9" w:rsidRDefault="002060DC" w:rsidP="00571E2F">
            <w:pPr>
              <w:rPr>
                <w:rFonts w:ascii="Tw Cen MT" w:hAnsi="Tw Cen MT"/>
                <w:sz w:val="28"/>
                <w:szCs w:val="28"/>
              </w:rPr>
            </w:pPr>
            <w:hyperlink r:id="rId19" w:history="1">
              <w:r w:rsidR="00571E2F" w:rsidRPr="006056E9">
                <w:rPr>
                  <w:rStyle w:val="Hyperlink"/>
                  <w:rFonts w:ascii="Tw Cen MT" w:hAnsi="Tw Cen MT"/>
                  <w:sz w:val="28"/>
                  <w:szCs w:val="28"/>
                </w:rPr>
                <w:t>Ticket Task</w:t>
              </w:r>
            </w:hyperlink>
            <w:r w:rsidR="00571E2F" w:rsidRPr="006056E9">
              <w:rPr>
                <w:rFonts w:ascii="Tw Cen MT" w:hAnsi="Tw Cen MT"/>
                <w:sz w:val="28"/>
                <w:szCs w:val="28"/>
              </w:rPr>
              <w:t>: click on Quarter 3, Performance Task 1</w:t>
            </w:r>
          </w:p>
          <w:p w:rsidR="00935922" w:rsidRPr="006056E9" w:rsidRDefault="00935922" w:rsidP="00571E2F">
            <w:pPr>
              <w:rPr>
                <w:rFonts w:ascii="Tw Cen MT" w:hAnsi="Tw Cen MT"/>
                <w:b/>
                <w:sz w:val="28"/>
                <w:szCs w:val="28"/>
              </w:rPr>
            </w:pPr>
          </w:p>
          <w:p w:rsidR="006056E9" w:rsidRDefault="002060DC" w:rsidP="00571E2F">
            <w:pPr>
              <w:rPr>
                <w:rFonts w:ascii="Tw Cen MT" w:hAnsi="Tw Cen MT"/>
                <w:b/>
                <w:sz w:val="28"/>
                <w:szCs w:val="28"/>
              </w:rPr>
            </w:pPr>
            <w:hyperlink r:id="rId20" w:history="1">
              <w:r w:rsidR="00571E2F" w:rsidRPr="006056E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End of Module Assessmen</w:t>
              </w:r>
              <w:r w:rsidR="006056E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t Word Documen</w:t>
              </w:r>
              <w:r w:rsidR="00571E2F" w:rsidRPr="006056E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t</w:t>
              </w:r>
            </w:hyperlink>
            <w:r w:rsidR="006056E9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  <w:r w:rsidR="00571E2F" w:rsidRPr="006056E9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</w:p>
          <w:p w:rsidR="00571E2F" w:rsidRPr="006056E9" w:rsidRDefault="00571E2F" w:rsidP="00571E2F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6056E9">
              <w:rPr>
                <w:rFonts w:ascii="Tw Cen MT" w:hAnsi="Tw Cen MT"/>
                <w:b/>
                <w:sz w:val="28"/>
                <w:szCs w:val="28"/>
              </w:rPr>
              <w:t xml:space="preserve">Notes: </w:t>
            </w:r>
            <w:r w:rsidR="006056E9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  <w:r w:rsidRPr="006056E9">
              <w:rPr>
                <w:rFonts w:ascii="Tw Cen MT" w:hAnsi="Tw Cen MT"/>
                <w:sz w:val="28"/>
                <w:szCs w:val="28"/>
              </w:rPr>
              <w:t xml:space="preserve">Correct the error on #1. The fraction should </w:t>
            </w:r>
            <w:proofErr w:type="gramStart"/>
            <w:r w:rsidRPr="006056E9">
              <w:rPr>
                <w:rFonts w:ascii="Tw Cen MT" w:hAnsi="Tw Cen MT"/>
                <w:sz w:val="28"/>
                <w:szCs w:val="28"/>
              </w:rPr>
              <w:t xml:space="preserve">say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den>
              </m:f>
            </m:oMath>
            <w:r w:rsidRPr="006056E9">
              <w:rPr>
                <w:rFonts w:ascii="Tw Cen MT" w:hAnsi="Tw Cen MT"/>
                <w:sz w:val="28"/>
                <w:szCs w:val="28"/>
              </w:rPr>
              <w:t>.</w:t>
            </w:r>
          </w:p>
          <w:p w:rsidR="00571E2F" w:rsidRPr="006056E9" w:rsidRDefault="00571E2F" w:rsidP="00571E2F">
            <w:pPr>
              <w:rPr>
                <w:rFonts w:ascii="Tw Cen MT" w:hAnsi="Tw Cen MT"/>
                <w:sz w:val="28"/>
                <w:szCs w:val="28"/>
              </w:rPr>
            </w:pPr>
            <w:r w:rsidRPr="006056E9">
              <w:rPr>
                <w:rFonts w:ascii="Tw Cen MT" w:hAnsi="Tw Cen MT"/>
                <w:sz w:val="28"/>
                <w:szCs w:val="28"/>
              </w:rPr>
              <w:t>Because lesson</w:t>
            </w:r>
            <w:r w:rsidR="00C74855" w:rsidRPr="006056E9">
              <w:rPr>
                <w:rFonts w:ascii="Tw Cen MT" w:hAnsi="Tw Cen MT"/>
                <w:sz w:val="28"/>
                <w:szCs w:val="28"/>
              </w:rPr>
              <w:t>s</w:t>
            </w:r>
            <w:r w:rsidRPr="006056E9">
              <w:rPr>
                <w:rFonts w:ascii="Tw Cen MT" w:hAnsi="Tw Cen MT"/>
                <w:sz w:val="28"/>
                <w:szCs w:val="28"/>
              </w:rPr>
              <w:t xml:space="preserve"> on measurement</w:t>
            </w:r>
            <w:r w:rsidR="00C74855" w:rsidRPr="006056E9">
              <w:rPr>
                <w:rFonts w:ascii="Tw Cen MT" w:hAnsi="Tw Cen MT"/>
                <w:sz w:val="28"/>
                <w:szCs w:val="28"/>
              </w:rPr>
              <w:t xml:space="preserve"> and money</w:t>
            </w:r>
            <w:r w:rsidRPr="006056E9">
              <w:rPr>
                <w:rFonts w:ascii="Tw Cen MT" w:hAnsi="Tw Cen MT"/>
                <w:sz w:val="28"/>
                <w:szCs w:val="28"/>
              </w:rPr>
              <w:t xml:space="preserve"> were optional, #4 and </w:t>
            </w:r>
            <w:r w:rsidR="00C74855" w:rsidRPr="006056E9">
              <w:rPr>
                <w:rFonts w:ascii="Tw Cen MT" w:hAnsi="Tw Cen MT"/>
                <w:sz w:val="28"/>
                <w:szCs w:val="28"/>
              </w:rPr>
              <w:t>parts of #</w:t>
            </w:r>
            <w:r w:rsidRPr="006056E9">
              <w:rPr>
                <w:rFonts w:ascii="Tw Cen MT" w:hAnsi="Tw Cen MT"/>
                <w:sz w:val="28"/>
                <w:szCs w:val="28"/>
              </w:rPr>
              <w:t xml:space="preserve">6 may be omitted. </w:t>
            </w:r>
          </w:p>
          <w:p w:rsidR="00571E2F" w:rsidRPr="00571E2F" w:rsidRDefault="00571E2F" w:rsidP="00571E2F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AA3281" w:rsidTr="005E68E1">
        <w:tc>
          <w:tcPr>
            <w:tcW w:w="13176" w:type="dxa"/>
            <w:gridSpan w:val="5"/>
          </w:tcPr>
          <w:p w:rsidR="00AA3281" w:rsidRPr="00292978" w:rsidRDefault="00AA3281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571E2F">
              <w:rPr>
                <w:rFonts w:ascii="Tw Cen MT" w:hAnsi="Tw Cen MT"/>
                <w:b/>
                <w:i/>
                <w:sz w:val="28"/>
                <w:szCs w:val="28"/>
              </w:rPr>
              <w:t xml:space="preserve"> 15</w:t>
            </w: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056E9" w:rsidRPr="005E68E1" w:rsidRDefault="006056E9" w:rsidP="00935922">
      <w:pPr>
        <w:rPr>
          <w:rFonts w:ascii="Tw Cen MT" w:hAnsi="Tw Cen MT"/>
          <w:sz w:val="24"/>
          <w:szCs w:val="24"/>
        </w:rPr>
      </w:pPr>
      <w:r w:rsidRPr="005E68E1">
        <w:rPr>
          <w:rFonts w:ascii="Tw Cen MT" w:hAnsi="Tw Cen MT"/>
          <w:sz w:val="24"/>
          <w:szCs w:val="24"/>
        </w:rPr>
        <w:t>Links Used</w:t>
      </w:r>
      <w:r w:rsidR="00935922" w:rsidRPr="005E68E1">
        <w:rPr>
          <w:rFonts w:ascii="Tw Cen MT" w:hAnsi="Tw Cen MT"/>
          <w:sz w:val="24"/>
          <w:szCs w:val="24"/>
        </w:rPr>
        <w:t>:</w:t>
      </w:r>
      <w:r w:rsidR="005E68E1">
        <w:rPr>
          <w:rFonts w:ascii="Tw Cen MT" w:hAnsi="Tw Cen MT"/>
          <w:sz w:val="24"/>
          <w:szCs w:val="24"/>
        </w:rPr>
        <w:t xml:space="preserve"> </w:t>
      </w:r>
      <w:r w:rsidRPr="005E68E1">
        <w:rPr>
          <w:rFonts w:ascii="Tw Cen MT" w:hAnsi="Tw Cen MT"/>
          <w:sz w:val="24"/>
          <w:szCs w:val="24"/>
        </w:rPr>
        <w:t xml:space="preserve">Module Assessments: </w:t>
      </w:r>
      <w:hyperlink r:id="rId21" w:history="1">
        <w:r w:rsidRPr="005E68E1">
          <w:rPr>
            <w:rStyle w:val="Hyperlink"/>
            <w:rFonts w:ascii="Tw Cen MT" w:hAnsi="Tw Cen MT"/>
            <w:sz w:val="24"/>
            <w:szCs w:val="24"/>
          </w:rPr>
          <w:t>https://www.engageny.org/resource/grade-4-mathematics-module-6</w:t>
        </w:r>
      </w:hyperlink>
    </w:p>
    <w:p w:rsidR="00935922" w:rsidRPr="005E68E1" w:rsidRDefault="00935922" w:rsidP="00935922">
      <w:pPr>
        <w:pStyle w:val="NoSpacing"/>
        <w:rPr>
          <w:rFonts w:ascii="Tw Cen MT" w:hAnsi="Tw Cen MT"/>
          <w:sz w:val="24"/>
          <w:szCs w:val="24"/>
        </w:rPr>
      </w:pPr>
      <w:r w:rsidRPr="005E68E1">
        <w:rPr>
          <w:rFonts w:ascii="Tw Cen MT" w:hAnsi="Tw Cen MT"/>
          <w:sz w:val="24"/>
          <w:szCs w:val="24"/>
        </w:rPr>
        <w:t xml:space="preserve">Dismissal Duty Dilemma: </w:t>
      </w:r>
      <w:hyperlink r:id="rId22" w:history="1">
        <w:r w:rsidRPr="005E68E1">
          <w:rPr>
            <w:rStyle w:val="Hyperlink"/>
            <w:rFonts w:ascii="Tw Cen MT" w:hAnsi="Tw Cen MT"/>
            <w:sz w:val="24"/>
            <w:szCs w:val="24"/>
          </w:rPr>
          <w:t>https://www.georgiastandards.org/Georgia-Standards/Frameworks/4th-Math-Unit-5.pdf</w:t>
        </w:r>
      </w:hyperlink>
    </w:p>
    <w:p w:rsidR="006056E9" w:rsidRPr="005E68E1" w:rsidRDefault="006056E9" w:rsidP="00935922">
      <w:pPr>
        <w:pStyle w:val="NoSpacing"/>
        <w:rPr>
          <w:rFonts w:ascii="Tw Cen MT" w:hAnsi="Tw Cen MT"/>
          <w:sz w:val="24"/>
          <w:szCs w:val="24"/>
        </w:rPr>
      </w:pPr>
    </w:p>
    <w:p w:rsidR="00935922" w:rsidRPr="005E68E1" w:rsidRDefault="00935922" w:rsidP="00935922">
      <w:pPr>
        <w:pStyle w:val="NoSpacing"/>
        <w:rPr>
          <w:rFonts w:ascii="Tw Cen MT" w:hAnsi="Tw Cen MT"/>
          <w:sz w:val="24"/>
          <w:szCs w:val="24"/>
        </w:rPr>
      </w:pPr>
      <w:r w:rsidRPr="005E68E1">
        <w:rPr>
          <w:rFonts w:ascii="Tw Cen MT" w:hAnsi="Tw Cen MT"/>
          <w:sz w:val="24"/>
          <w:szCs w:val="24"/>
        </w:rPr>
        <w:t xml:space="preserve">Ticket Task: </w:t>
      </w:r>
      <w:hyperlink r:id="rId23" w:history="1">
        <w:r w:rsidRPr="005E68E1">
          <w:rPr>
            <w:rStyle w:val="Hyperlink"/>
            <w:rFonts w:ascii="Tw Cen MT" w:hAnsi="Tw Cen MT"/>
            <w:sz w:val="24"/>
            <w:szCs w:val="24"/>
          </w:rPr>
          <w:t>https://grade4commoncoremath.wikispaces.hcpss.org/Assessing+4.NF.6</w:t>
        </w:r>
      </w:hyperlink>
      <w:r w:rsidRPr="005E68E1">
        <w:rPr>
          <w:rFonts w:ascii="Tw Cen MT" w:hAnsi="Tw Cen MT"/>
          <w:sz w:val="24"/>
          <w:szCs w:val="24"/>
        </w:rPr>
        <w:t xml:space="preserve"> </w:t>
      </w:r>
    </w:p>
    <w:sectPr w:rsidR="00935922" w:rsidRPr="005E68E1" w:rsidSect="005E68E1">
      <w:footerReference w:type="default" r:id="rId24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0DC" w:rsidRDefault="002060DC" w:rsidP="008C3690">
      <w:pPr>
        <w:spacing w:after="0" w:line="240" w:lineRule="auto"/>
      </w:pPr>
      <w:r>
        <w:separator/>
      </w:r>
    </w:p>
  </w:endnote>
  <w:endnote w:type="continuationSeparator" w:id="0">
    <w:p w:rsidR="002060DC" w:rsidRDefault="002060DC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1BA8EFDA" wp14:editId="3B06374B">
          <wp:simplePos x="0" y="0"/>
          <wp:positionH relativeFrom="column">
            <wp:posOffset>7500620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7883FB74" wp14:editId="7A528EB8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0DC" w:rsidRDefault="002060DC" w:rsidP="008C3690">
      <w:pPr>
        <w:spacing w:after="0" w:line="240" w:lineRule="auto"/>
      </w:pPr>
      <w:r>
        <w:separator/>
      </w:r>
    </w:p>
  </w:footnote>
  <w:footnote w:type="continuationSeparator" w:id="0">
    <w:p w:rsidR="002060DC" w:rsidRDefault="002060DC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25FA"/>
    <w:multiLevelType w:val="hybridMultilevel"/>
    <w:tmpl w:val="8C287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B4D7F"/>
    <w:multiLevelType w:val="hybridMultilevel"/>
    <w:tmpl w:val="32C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200DB3"/>
    <w:multiLevelType w:val="hybridMultilevel"/>
    <w:tmpl w:val="9406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70F74"/>
    <w:rsid w:val="00084FBD"/>
    <w:rsid w:val="000F454A"/>
    <w:rsid w:val="00163235"/>
    <w:rsid w:val="002060DC"/>
    <w:rsid w:val="00242BAE"/>
    <w:rsid w:val="00277669"/>
    <w:rsid w:val="00292978"/>
    <w:rsid w:val="003D1370"/>
    <w:rsid w:val="00467271"/>
    <w:rsid w:val="00562CD3"/>
    <w:rsid w:val="00571E2F"/>
    <w:rsid w:val="005E68E1"/>
    <w:rsid w:val="006056E9"/>
    <w:rsid w:val="00610309"/>
    <w:rsid w:val="006163A6"/>
    <w:rsid w:val="0064101C"/>
    <w:rsid w:val="00681089"/>
    <w:rsid w:val="006F049A"/>
    <w:rsid w:val="007173A8"/>
    <w:rsid w:val="00836D22"/>
    <w:rsid w:val="00860A71"/>
    <w:rsid w:val="00895630"/>
    <w:rsid w:val="008C3690"/>
    <w:rsid w:val="00935922"/>
    <w:rsid w:val="00955F31"/>
    <w:rsid w:val="0096694C"/>
    <w:rsid w:val="00A21572"/>
    <w:rsid w:val="00A45741"/>
    <w:rsid w:val="00A561EF"/>
    <w:rsid w:val="00AA3281"/>
    <w:rsid w:val="00B4039D"/>
    <w:rsid w:val="00B87E5D"/>
    <w:rsid w:val="00BC52C9"/>
    <w:rsid w:val="00C74855"/>
    <w:rsid w:val="00C8427A"/>
    <w:rsid w:val="00CA6617"/>
    <w:rsid w:val="00D82FF5"/>
    <w:rsid w:val="00DD6B76"/>
    <w:rsid w:val="00DE54A4"/>
    <w:rsid w:val="00EB2ACA"/>
    <w:rsid w:val="00F2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PlaceholderText">
    <w:name w:val="Placeholder Text"/>
    <w:basedOn w:val="DefaultParagraphFont"/>
    <w:uiPriority w:val="99"/>
    <w:semiHidden/>
    <w:rsid w:val="00571E2F"/>
    <w:rPr>
      <w:color w:val="808080"/>
    </w:rPr>
  </w:style>
  <w:style w:type="paragraph" w:styleId="NoSpacing">
    <w:name w:val="No Spacing"/>
    <w:uiPriority w:val="1"/>
    <w:qFormat/>
    <w:rsid w:val="009359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PlaceholderText">
    <w:name w:val="Placeholder Text"/>
    <w:basedOn w:val="DefaultParagraphFont"/>
    <w:uiPriority w:val="99"/>
    <w:semiHidden/>
    <w:rsid w:val="00571E2F"/>
    <w:rPr>
      <w:color w:val="808080"/>
    </w:rPr>
  </w:style>
  <w:style w:type="paragraph" w:styleId="NoSpacing">
    <w:name w:val="No Spacing"/>
    <w:uiPriority w:val="1"/>
    <w:qFormat/>
    <w:rsid w:val="00935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engageny.org/resource/grade-4-mathematics-module-6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s://www.engageny.org/resource/grade-4-mathematics-module-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eorgiastandards.org/Georgia-Standards/Frameworks/4th-Math-Unit-5.pdf" TargetMode="External"/><Relationship Id="rId23" Type="http://schemas.openxmlformats.org/officeDocument/2006/relationships/hyperlink" Target="https://grade4commoncoremath.wikispaces.hcpss.org/Assessing+4.NF.6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grade4commoncoremath.wikispaces.hcpss.org/Assessing+4.NF.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www.engageny.org/resource/grade-4-mathematics-module-6" TargetMode="External"/><Relationship Id="rId22" Type="http://schemas.openxmlformats.org/officeDocument/2006/relationships/hyperlink" Target="https://www.georgiastandards.org/Georgia-Standards/Frameworks/4th-Math-Unit-5.pdf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9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2015-07-27T20:00:00Z</cp:lastPrinted>
  <dcterms:created xsi:type="dcterms:W3CDTF">2015-07-27T21:05:00Z</dcterms:created>
  <dcterms:modified xsi:type="dcterms:W3CDTF">2015-07-27T21:05:00Z</dcterms:modified>
</cp:coreProperties>
</file>